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b/>
          <w:bCs/>
          <w:szCs w:val="21"/>
        </w:rPr>
      </w:pPr>
      <w:r>
        <w:rPr>
          <w:rFonts w:hint="eastAsia" w:ascii="宋体" w:hAnsi="宋体"/>
          <w:b/>
          <w:bCs/>
          <w:szCs w:val="21"/>
        </w:rPr>
        <w:t>四、问答题</w:t>
      </w:r>
    </w:p>
    <w:p>
      <w:pPr>
        <w:pStyle w:val="13"/>
        <w:numPr>
          <w:ilvl w:val="0"/>
          <w:numId w:val="1"/>
        </w:numPr>
        <w:ind w:firstLineChars="0"/>
        <w:rPr>
          <w:rFonts w:ascii="宋体" w:hAnsi="宋体"/>
          <w:bCs/>
          <w:szCs w:val="21"/>
        </w:rPr>
      </w:pPr>
      <w:r>
        <w:rPr>
          <w:rFonts w:hint="eastAsia"/>
          <w:szCs w:val="21"/>
        </w:rPr>
        <w:t>依据《内河小型渔船法定检验技术规则（2019）》，请</w:t>
      </w:r>
      <w:r>
        <w:rPr>
          <w:rFonts w:hint="eastAsia" w:ascii="宋体" w:hAnsi="宋体"/>
          <w:bCs/>
          <w:szCs w:val="21"/>
        </w:rPr>
        <w:t>简述内河渔船临时检验的定义，以及申报临时检验的情形。</w:t>
      </w:r>
    </w:p>
    <w:p>
      <w:pPr>
        <w:ind w:firstLine="210" w:firstLineChars="100"/>
        <w:rPr>
          <w:rFonts w:ascii="宋体" w:hAnsi="宋体"/>
          <w:bCs/>
          <w:szCs w:val="21"/>
        </w:rPr>
      </w:pPr>
      <w:r>
        <w:rPr>
          <w:rFonts w:hint="eastAsia" w:ascii="宋体" w:hAnsi="宋体"/>
          <w:bCs/>
          <w:szCs w:val="21"/>
        </w:rPr>
        <w:t>答案：</w:t>
      </w:r>
    </w:p>
    <w:p>
      <w:pPr>
        <w:ind w:firstLine="210" w:firstLineChars="100"/>
        <w:rPr>
          <w:rFonts w:ascii="宋体" w:hAnsi="宋体"/>
          <w:bCs/>
          <w:szCs w:val="21"/>
        </w:rPr>
      </w:pPr>
      <w:r>
        <w:rPr>
          <w:rFonts w:hint="eastAsia" w:ascii="宋体" w:hAnsi="宋体"/>
          <w:bCs/>
          <w:szCs w:val="21"/>
        </w:rPr>
        <w:t>临时检验系指渔船的技术状况或用途等发生特殊情况变化时所进行的非常规性检验。申报临时检验的情形主要有：</w:t>
      </w:r>
    </w:p>
    <w:p>
      <w:pPr>
        <w:ind w:left="420"/>
        <w:rPr>
          <w:rFonts w:ascii="宋体" w:hAnsi="宋体"/>
          <w:bCs/>
          <w:szCs w:val="21"/>
        </w:rPr>
      </w:pPr>
      <w:r>
        <w:rPr>
          <w:rFonts w:hint="eastAsia" w:ascii="宋体" w:hAnsi="宋体"/>
          <w:bCs/>
          <w:szCs w:val="21"/>
        </w:rPr>
        <w:t>（1）因发生事故而影响安全航行、作业技术条件的；</w:t>
      </w:r>
    </w:p>
    <w:p>
      <w:pPr>
        <w:ind w:left="420"/>
        <w:rPr>
          <w:rFonts w:ascii="宋体" w:hAnsi="宋体"/>
          <w:bCs/>
          <w:szCs w:val="21"/>
        </w:rPr>
      </w:pPr>
      <w:r>
        <w:rPr>
          <w:rFonts w:hint="eastAsia" w:ascii="宋体" w:hAnsi="宋体"/>
          <w:bCs/>
          <w:szCs w:val="21"/>
        </w:rPr>
        <w:t>（2）改变证书所限定的用途；</w:t>
      </w:r>
    </w:p>
    <w:p>
      <w:pPr>
        <w:ind w:left="420"/>
        <w:rPr>
          <w:rFonts w:ascii="宋体" w:hAnsi="宋体"/>
          <w:bCs/>
          <w:szCs w:val="21"/>
        </w:rPr>
      </w:pPr>
      <w:r>
        <w:rPr>
          <w:rFonts w:hint="eastAsia" w:ascii="宋体" w:hAnsi="宋体"/>
          <w:bCs/>
          <w:szCs w:val="21"/>
        </w:rPr>
        <w:t>（3）改变作业区域；</w:t>
      </w:r>
    </w:p>
    <w:p>
      <w:pPr>
        <w:ind w:left="420"/>
        <w:rPr>
          <w:rFonts w:ascii="宋体" w:hAnsi="宋体"/>
          <w:bCs/>
          <w:szCs w:val="21"/>
        </w:rPr>
      </w:pPr>
      <w:r>
        <w:rPr>
          <w:rFonts w:hint="eastAsia" w:ascii="宋体" w:hAnsi="宋体"/>
          <w:bCs/>
          <w:szCs w:val="21"/>
        </w:rPr>
        <w:t>（4）更改船名；</w:t>
      </w:r>
    </w:p>
    <w:p>
      <w:pPr>
        <w:ind w:left="420"/>
        <w:rPr>
          <w:rFonts w:ascii="宋体" w:hAnsi="宋体"/>
          <w:bCs/>
          <w:szCs w:val="21"/>
        </w:rPr>
      </w:pPr>
      <w:r>
        <w:rPr>
          <w:rFonts w:hint="eastAsia" w:ascii="宋体" w:hAnsi="宋体"/>
          <w:bCs/>
          <w:szCs w:val="21"/>
        </w:rPr>
        <w:t>（5）变更船籍港或所有人的；</w:t>
      </w:r>
    </w:p>
    <w:p>
      <w:pPr>
        <w:ind w:left="420"/>
        <w:rPr>
          <w:rFonts w:ascii="宋体" w:hAnsi="宋体"/>
          <w:bCs/>
          <w:szCs w:val="21"/>
        </w:rPr>
      </w:pPr>
      <w:r>
        <w:rPr>
          <w:rFonts w:hint="eastAsia" w:ascii="宋体" w:hAnsi="宋体"/>
          <w:bCs/>
          <w:szCs w:val="21"/>
        </w:rPr>
        <w:t>（6）涉及渔船安全的修理或改装(包括更换主机)的；</w:t>
      </w:r>
    </w:p>
    <w:p>
      <w:pPr>
        <w:ind w:left="420"/>
        <w:rPr>
          <w:rFonts w:ascii="宋体" w:hAnsi="宋体"/>
          <w:bCs/>
          <w:szCs w:val="21"/>
        </w:rPr>
      </w:pPr>
      <w:r>
        <w:rPr>
          <w:rFonts w:hint="eastAsia" w:ascii="宋体" w:hAnsi="宋体"/>
          <w:bCs/>
          <w:szCs w:val="21"/>
        </w:rPr>
        <w:t>（7）检验证书失效的；</w:t>
      </w:r>
    </w:p>
    <w:p>
      <w:pPr>
        <w:ind w:left="420"/>
        <w:rPr>
          <w:rFonts w:ascii="宋体" w:hAnsi="宋体"/>
          <w:bCs/>
          <w:szCs w:val="21"/>
        </w:rPr>
      </w:pPr>
      <w:r>
        <w:rPr>
          <w:rFonts w:hint="eastAsia" w:ascii="宋体" w:hAnsi="宋体"/>
          <w:bCs/>
          <w:szCs w:val="21"/>
        </w:rPr>
        <w:t>（8）渔港监督或环境保护主管机关责成检验的。</w:t>
      </w:r>
    </w:p>
    <w:p>
      <w:pPr>
        <w:pStyle w:val="13"/>
        <w:numPr>
          <w:ilvl w:val="0"/>
          <w:numId w:val="1"/>
        </w:numPr>
        <w:ind w:firstLineChars="0"/>
        <w:rPr>
          <w:szCs w:val="21"/>
        </w:rPr>
      </w:pPr>
      <w:r>
        <w:rPr>
          <w:rFonts w:hint="eastAsia"/>
          <w:szCs w:val="21"/>
        </w:rPr>
        <w:t>一艘</w:t>
      </w:r>
      <w:r>
        <w:rPr>
          <w:szCs w:val="21"/>
        </w:rPr>
        <w:t>船长11.90m</w:t>
      </w:r>
      <w:r>
        <w:rPr>
          <w:rFonts w:hint="eastAsia"/>
          <w:szCs w:val="21"/>
        </w:rPr>
        <w:t>的内河</w:t>
      </w:r>
      <w:r>
        <w:rPr>
          <w:szCs w:val="21"/>
        </w:rPr>
        <w:t>渔船，有甲板室，完工日期2020年4月16日，证书有效期2025年4月15日。2022年初船舶所有人张某将该船转让给了同村渔民周某。2022年4月20日周某来申报该船的年度检验。验船师在确认该船船、机、电及安全设备满足</w:t>
      </w:r>
      <w:r>
        <w:rPr>
          <w:rFonts w:hint="eastAsia"/>
          <w:szCs w:val="21"/>
        </w:rPr>
        <w:t>技术法规</w:t>
      </w:r>
      <w:r>
        <w:rPr>
          <w:szCs w:val="21"/>
        </w:rPr>
        <w:t>要求后</w:t>
      </w:r>
      <w:r>
        <w:rPr>
          <w:rFonts w:hint="eastAsia"/>
          <w:szCs w:val="21"/>
        </w:rPr>
        <w:t>，</w:t>
      </w:r>
      <w:r>
        <w:rPr>
          <w:szCs w:val="21"/>
        </w:rPr>
        <w:t>签署</w:t>
      </w:r>
      <w:r>
        <w:rPr>
          <w:rFonts w:hint="eastAsia"/>
          <w:szCs w:val="21"/>
        </w:rPr>
        <w:t>该</w:t>
      </w:r>
      <w:r>
        <w:rPr>
          <w:szCs w:val="21"/>
        </w:rPr>
        <w:t>证书。</w:t>
      </w:r>
      <w:r>
        <w:rPr>
          <w:rFonts w:hint="eastAsia"/>
          <w:szCs w:val="21"/>
        </w:rPr>
        <w:t>依据《内河小型渔船法定检验技术规则（2019）》，</w:t>
      </w:r>
      <w:r>
        <w:rPr>
          <w:szCs w:val="21"/>
        </w:rPr>
        <w:t>该验船师的做法是否正确？</w:t>
      </w:r>
      <w:r>
        <w:rPr>
          <w:rFonts w:hint="eastAsia"/>
          <w:szCs w:val="21"/>
        </w:rPr>
        <w:t>为什么</w:t>
      </w:r>
      <w:r>
        <w:rPr>
          <w:szCs w:val="21"/>
        </w:rPr>
        <w:t xml:space="preserve">？ </w:t>
      </w:r>
    </w:p>
    <w:p>
      <w:pPr>
        <w:rPr>
          <w:szCs w:val="21"/>
        </w:rPr>
      </w:pPr>
      <w:r>
        <w:rPr>
          <w:szCs w:val="21"/>
        </w:rPr>
        <w:t>答案：</w:t>
      </w:r>
    </w:p>
    <w:p>
      <w:pPr>
        <w:ind w:firstLine="420" w:firstLineChars="200"/>
        <w:rPr>
          <w:bCs/>
          <w:szCs w:val="21"/>
        </w:rPr>
      </w:pPr>
      <w:r>
        <w:rPr>
          <w:szCs w:val="21"/>
        </w:rPr>
        <w:t>验船师的做法不正确。因为船舶更换所有人后证书自行失效，</w:t>
      </w:r>
      <w:r>
        <w:rPr>
          <w:rFonts w:hint="eastAsia"/>
          <w:szCs w:val="21"/>
        </w:rPr>
        <w:t>周某应向船舶检验机构申报</w:t>
      </w:r>
      <w:r>
        <w:rPr>
          <w:szCs w:val="21"/>
        </w:rPr>
        <w:t>临时检验，</w:t>
      </w:r>
      <w:r>
        <w:rPr>
          <w:rFonts w:hint="eastAsia"/>
          <w:szCs w:val="21"/>
        </w:rPr>
        <w:t>检验</w:t>
      </w:r>
      <w:r>
        <w:rPr>
          <w:szCs w:val="21"/>
        </w:rPr>
        <w:t>合格后应换发新证书，有效期同原证书。</w:t>
      </w:r>
    </w:p>
    <w:p>
      <w:pPr>
        <w:numPr>
          <w:ilvl w:val="0"/>
          <w:numId w:val="1"/>
        </w:numPr>
        <w:rPr>
          <w:szCs w:val="21"/>
        </w:rPr>
      </w:pPr>
      <w:r>
        <w:rPr>
          <w:rFonts w:hint="eastAsia"/>
          <w:szCs w:val="21"/>
          <w:lang w:val="en-US" w:eastAsia="zh-CN"/>
        </w:rPr>
        <w:t>一艘</w:t>
      </w:r>
      <w:r>
        <w:rPr>
          <w:szCs w:val="21"/>
        </w:rPr>
        <w:t>A级航区流刺网渔船，总长14.80m，船长12.80m</w:t>
      </w:r>
      <w:r>
        <w:rPr>
          <w:rFonts w:hint="eastAsia"/>
          <w:szCs w:val="21"/>
          <w:lang w:eastAsia="zh-CN"/>
        </w:rPr>
        <w:t>，</w:t>
      </w:r>
      <w:r>
        <w:rPr>
          <w:szCs w:val="21"/>
        </w:rPr>
        <w:t>证书有效期至2021年7月20日。2020年5月10日，该船因原来的主机发生故障，更换了一台同功率的新主机</w:t>
      </w:r>
      <w:r>
        <w:rPr>
          <w:rFonts w:hint="eastAsia"/>
          <w:szCs w:val="21"/>
        </w:rPr>
        <w:t>。</w:t>
      </w:r>
      <w:r>
        <w:rPr>
          <w:szCs w:val="21"/>
        </w:rPr>
        <w:t>为</w:t>
      </w:r>
      <w:r>
        <w:rPr>
          <w:rFonts w:hint="eastAsia"/>
          <w:szCs w:val="21"/>
        </w:rPr>
        <w:t>了</w:t>
      </w:r>
      <w:r>
        <w:rPr>
          <w:szCs w:val="21"/>
        </w:rPr>
        <w:t>不耽误生产，</w:t>
      </w:r>
      <w:r>
        <w:rPr>
          <w:rFonts w:hint="eastAsia"/>
          <w:szCs w:val="21"/>
        </w:rPr>
        <w:t>船舶所有人</w:t>
      </w:r>
      <w:r>
        <w:rPr>
          <w:szCs w:val="21"/>
        </w:rPr>
        <w:t>在没有向验船机构申报检验的情况下更换了新的主机</w:t>
      </w:r>
      <w:bookmarkStart w:id="0" w:name="_GoBack"/>
      <w:r>
        <w:rPr>
          <w:color w:val="auto"/>
          <w:szCs w:val="21"/>
        </w:rPr>
        <w:t>后即</w:t>
      </w:r>
      <w:r>
        <w:rPr>
          <w:rFonts w:hint="eastAsia"/>
          <w:color w:val="auto"/>
          <w:szCs w:val="21"/>
          <w:lang w:val="en-US" w:eastAsia="zh-CN"/>
        </w:rPr>
        <w:t>投入</w:t>
      </w:r>
      <w:r>
        <w:rPr>
          <w:color w:val="auto"/>
          <w:szCs w:val="21"/>
        </w:rPr>
        <w:t>生产</w:t>
      </w:r>
      <w:r>
        <w:rPr>
          <w:rFonts w:hint="eastAsia"/>
          <w:color w:val="auto"/>
          <w:szCs w:val="21"/>
        </w:rPr>
        <w:t>。依据《内河渔船法定检验技术规则（2019）》，（1）请说明</w:t>
      </w:r>
      <w:r>
        <w:rPr>
          <w:color w:val="auto"/>
          <w:szCs w:val="21"/>
        </w:rPr>
        <w:t>该船检验证</w:t>
      </w:r>
      <w:bookmarkEnd w:id="0"/>
      <w:r>
        <w:rPr>
          <w:szCs w:val="21"/>
        </w:rPr>
        <w:t>书</w:t>
      </w:r>
      <w:r>
        <w:rPr>
          <w:rFonts w:hint="eastAsia"/>
          <w:szCs w:val="21"/>
        </w:rPr>
        <w:t>是否有效</w:t>
      </w:r>
      <w:r>
        <w:rPr>
          <w:szCs w:val="21"/>
        </w:rPr>
        <w:t>？</w:t>
      </w:r>
      <w:r>
        <w:rPr>
          <w:rFonts w:hint="eastAsia"/>
          <w:szCs w:val="21"/>
        </w:rPr>
        <w:t>（2）</w:t>
      </w:r>
      <w:r>
        <w:rPr>
          <w:szCs w:val="21"/>
        </w:rPr>
        <w:t>为什么？</w:t>
      </w:r>
      <w:r>
        <w:rPr>
          <w:rFonts w:hint="eastAsia"/>
          <w:szCs w:val="21"/>
        </w:rPr>
        <w:t>（3）</w:t>
      </w:r>
      <w:r>
        <w:rPr>
          <w:szCs w:val="21"/>
        </w:rPr>
        <w:t>船主应该向验船机构申报什么类别的检验？</w:t>
      </w:r>
    </w:p>
    <w:p>
      <w:pPr>
        <w:rPr>
          <w:bCs/>
          <w:szCs w:val="21"/>
        </w:rPr>
      </w:pPr>
      <w:r>
        <w:rPr>
          <w:szCs w:val="21"/>
        </w:rPr>
        <w:t>答案</w:t>
      </w:r>
      <w:r>
        <w:rPr>
          <w:bCs/>
          <w:szCs w:val="21"/>
        </w:rPr>
        <w:t>：</w:t>
      </w:r>
    </w:p>
    <w:p>
      <w:pPr>
        <w:ind w:firstLine="420" w:firstLineChars="200"/>
        <w:rPr>
          <w:bCs/>
          <w:szCs w:val="21"/>
        </w:rPr>
      </w:pPr>
      <w:r>
        <w:rPr>
          <w:rFonts w:hint="eastAsia"/>
          <w:bCs/>
          <w:szCs w:val="21"/>
        </w:rPr>
        <w:t>（1）无效。（2）</w:t>
      </w:r>
      <w:r>
        <w:rPr>
          <w:rFonts w:hint="eastAsia"/>
          <w:szCs w:val="21"/>
        </w:rPr>
        <w:t>依据《内河渔船法定检验技术规则（2019）》，</w:t>
      </w:r>
      <w:r>
        <w:rPr>
          <w:bCs/>
          <w:szCs w:val="21"/>
        </w:rPr>
        <w:t>船舶发生影响安全的重大海损或机损事故，其检验证书将自行失效。</w:t>
      </w:r>
      <w:r>
        <w:rPr>
          <w:rFonts w:hint="eastAsia"/>
          <w:bCs/>
          <w:szCs w:val="21"/>
        </w:rPr>
        <w:t>（3）船舶所有人</w:t>
      </w:r>
      <w:r>
        <w:rPr>
          <w:bCs/>
          <w:szCs w:val="21"/>
        </w:rPr>
        <w:t>须向验船机构申报临时检验。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A112DF"/>
    <w:multiLevelType w:val="multilevel"/>
    <w:tmpl w:val="7BA112DF"/>
    <w:lvl w:ilvl="0" w:tentative="0">
      <w:start w:val="1"/>
      <w:numFmt w:val="decimal"/>
      <w:suff w:val="space"/>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7"/>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jMTQ0ZTExYzk0ZmQwNmE3NTAyOTRmMzJlM2M3OWYifQ=="/>
  </w:docVars>
  <w:rsids>
    <w:rsidRoot w:val="00EA1FCB"/>
    <w:rsid w:val="00052DA6"/>
    <w:rsid w:val="00085082"/>
    <w:rsid w:val="000A14BE"/>
    <w:rsid w:val="000C3F8B"/>
    <w:rsid w:val="000C6BC9"/>
    <w:rsid w:val="000E367A"/>
    <w:rsid w:val="000F5D4D"/>
    <w:rsid w:val="001252FF"/>
    <w:rsid w:val="00125BD3"/>
    <w:rsid w:val="001329B8"/>
    <w:rsid w:val="00141F2D"/>
    <w:rsid w:val="0015224B"/>
    <w:rsid w:val="00155B06"/>
    <w:rsid w:val="0016033B"/>
    <w:rsid w:val="001C6A05"/>
    <w:rsid w:val="00203910"/>
    <w:rsid w:val="00206A19"/>
    <w:rsid w:val="00206E76"/>
    <w:rsid w:val="00210A35"/>
    <w:rsid w:val="00213CCE"/>
    <w:rsid w:val="002235DB"/>
    <w:rsid w:val="00245D58"/>
    <w:rsid w:val="00272FF1"/>
    <w:rsid w:val="002774AB"/>
    <w:rsid w:val="002803B0"/>
    <w:rsid w:val="00307BD2"/>
    <w:rsid w:val="00315489"/>
    <w:rsid w:val="00316D25"/>
    <w:rsid w:val="00354268"/>
    <w:rsid w:val="0037383C"/>
    <w:rsid w:val="003A4BE4"/>
    <w:rsid w:val="003D1A26"/>
    <w:rsid w:val="003E151D"/>
    <w:rsid w:val="003E55FD"/>
    <w:rsid w:val="00445FD5"/>
    <w:rsid w:val="004537E8"/>
    <w:rsid w:val="00466FBB"/>
    <w:rsid w:val="00470087"/>
    <w:rsid w:val="00487705"/>
    <w:rsid w:val="00495EC4"/>
    <w:rsid w:val="004A10EA"/>
    <w:rsid w:val="004C5B02"/>
    <w:rsid w:val="004C7946"/>
    <w:rsid w:val="004D4AAE"/>
    <w:rsid w:val="004E0015"/>
    <w:rsid w:val="004E3D3E"/>
    <w:rsid w:val="00503166"/>
    <w:rsid w:val="00515ABB"/>
    <w:rsid w:val="00555668"/>
    <w:rsid w:val="00563757"/>
    <w:rsid w:val="005A4AF2"/>
    <w:rsid w:val="005B1F87"/>
    <w:rsid w:val="0062454E"/>
    <w:rsid w:val="00631DCC"/>
    <w:rsid w:val="00670069"/>
    <w:rsid w:val="0067715D"/>
    <w:rsid w:val="00684EED"/>
    <w:rsid w:val="0070652B"/>
    <w:rsid w:val="00791F1B"/>
    <w:rsid w:val="007A3925"/>
    <w:rsid w:val="007B0B57"/>
    <w:rsid w:val="007C5E8C"/>
    <w:rsid w:val="007F1202"/>
    <w:rsid w:val="00817A24"/>
    <w:rsid w:val="008316A7"/>
    <w:rsid w:val="0084043A"/>
    <w:rsid w:val="00890461"/>
    <w:rsid w:val="00890518"/>
    <w:rsid w:val="008A7D9D"/>
    <w:rsid w:val="008C2DFA"/>
    <w:rsid w:val="008D1CD1"/>
    <w:rsid w:val="008D2D30"/>
    <w:rsid w:val="00933A6A"/>
    <w:rsid w:val="00937496"/>
    <w:rsid w:val="00965447"/>
    <w:rsid w:val="0098300E"/>
    <w:rsid w:val="009860B3"/>
    <w:rsid w:val="00994863"/>
    <w:rsid w:val="009E2B0E"/>
    <w:rsid w:val="009F27BE"/>
    <w:rsid w:val="00A40AD2"/>
    <w:rsid w:val="00A6289D"/>
    <w:rsid w:val="00A73F04"/>
    <w:rsid w:val="00A842D7"/>
    <w:rsid w:val="00A9031E"/>
    <w:rsid w:val="00AA1767"/>
    <w:rsid w:val="00AB0EDF"/>
    <w:rsid w:val="00AC7FB7"/>
    <w:rsid w:val="00AD077B"/>
    <w:rsid w:val="00AE5AF4"/>
    <w:rsid w:val="00AF6FC0"/>
    <w:rsid w:val="00B15414"/>
    <w:rsid w:val="00B56414"/>
    <w:rsid w:val="00B64223"/>
    <w:rsid w:val="00B66DA8"/>
    <w:rsid w:val="00B801BF"/>
    <w:rsid w:val="00B83006"/>
    <w:rsid w:val="00B929CC"/>
    <w:rsid w:val="00BC5CBE"/>
    <w:rsid w:val="00BC5EBB"/>
    <w:rsid w:val="00C27709"/>
    <w:rsid w:val="00C36B41"/>
    <w:rsid w:val="00C62056"/>
    <w:rsid w:val="00C93A6E"/>
    <w:rsid w:val="00CB4DD5"/>
    <w:rsid w:val="00CB75E9"/>
    <w:rsid w:val="00CC0D2D"/>
    <w:rsid w:val="00CD3190"/>
    <w:rsid w:val="00CF1205"/>
    <w:rsid w:val="00D14F55"/>
    <w:rsid w:val="00D25B7E"/>
    <w:rsid w:val="00D31A62"/>
    <w:rsid w:val="00DA7C92"/>
    <w:rsid w:val="00E063F2"/>
    <w:rsid w:val="00E1544C"/>
    <w:rsid w:val="00E21528"/>
    <w:rsid w:val="00E976BF"/>
    <w:rsid w:val="00EA1FCB"/>
    <w:rsid w:val="00EA5ABA"/>
    <w:rsid w:val="00ED6F4E"/>
    <w:rsid w:val="00EF57BD"/>
    <w:rsid w:val="00F1197D"/>
    <w:rsid w:val="00F433C7"/>
    <w:rsid w:val="00F57FE2"/>
    <w:rsid w:val="00F71824"/>
    <w:rsid w:val="00F807B3"/>
    <w:rsid w:val="00FC2E06"/>
    <w:rsid w:val="01937D52"/>
    <w:rsid w:val="086A61A6"/>
    <w:rsid w:val="0B7A075E"/>
    <w:rsid w:val="108E12EC"/>
    <w:rsid w:val="16D66764"/>
    <w:rsid w:val="24942439"/>
    <w:rsid w:val="2A426494"/>
    <w:rsid w:val="3B656BD0"/>
    <w:rsid w:val="3D886544"/>
    <w:rsid w:val="41A835D2"/>
    <w:rsid w:val="49AD5BC9"/>
    <w:rsid w:val="49B8547F"/>
    <w:rsid w:val="4C1710D6"/>
    <w:rsid w:val="4D452356"/>
    <w:rsid w:val="4ED6318C"/>
    <w:rsid w:val="6954706E"/>
    <w:rsid w:val="7C135285"/>
    <w:rsid w:val="7C3C5E6C"/>
    <w:rsid w:val="7CF20C20"/>
    <w:rsid w:val="7DC44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semiHidden/>
    <w:unhideWhenUsed/>
    <w:qFormat/>
    <w:uiPriority w:val="99"/>
    <w:pPr>
      <w:jc w:val="left"/>
    </w:pPr>
  </w:style>
  <w:style w:type="paragraph" w:styleId="3">
    <w:name w:val="Date"/>
    <w:basedOn w:val="1"/>
    <w:next w:val="1"/>
    <w:link w:val="16"/>
    <w:semiHidden/>
    <w:unhideWhenUsed/>
    <w:uiPriority w:val="99"/>
    <w:pPr>
      <w:ind w:left="100" w:leftChars="2500"/>
    </w:pPr>
  </w:style>
  <w:style w:type="paragraph" w:styleId="4">
    <w:name w:val="Balloon Text"/>
    <w:basedOn w:val="1"/>
    <w:link w:val="20"/>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8"/>
    <w:semiHidden/>
    <w:unhideWhenUsed/>
    <w:qFormat/>
    <w:uiPriority w:val="99"/>
    <w:rPr>
      <w:b/>
      <w:bCs/>
    </w:rPr>
  </w:style>
  <w:style w:type="character" w:styleId="10">
    <w:name w:val="annotation reference"/>
    <w:basedOn w:val="9"/>
    <w:semiHidden/>
    <w:unhideWhenUsed/>
    <w:qFormat/>
    <w:uiPriority w:val="99"/>
    <w:rPr>
      <w:sz w:val="21"/>
      <w:szCs w:val="21"/>
    </w:rPr>
  </w:style>
  <w:style w:type="character" w:customStyle="1" w:styleId="11">
    <w:name w:val="页眉 字符"/>
    <w:basedOn w:val="9"/>
    <w:link w:val="6"/>
    <w:qFormat/>
    <w:uiPriority w:val="99"/>
    <w:rPr>
      <w:sz w:val="18"/>
      <w:szCs w:val="18"/>
    </w:rPr>
  </w:style>
  <w:style w:type="character" w:customStyle="1" w:styleId="12">
    <w:name w:val="页脚 字符"/>
    <w:basedOn w:val="9"/>
    <w:link w:val="5"/>
    <w:qFormat/>
    <w:uiPriority w:val="99"/>
    <w:rPr>
      <w:sz w:val="18"/>
      <w:szCs w:val="18"/>
    </w:rPr>
  </w:style>
  <w:style w:type="paragraph" w:styleId="13">
    <w:name w:val="List Paragraph"/>
    <w:basedOn w:val="1"/>
    <w:qFormat/>
    <w:uiPriority w:val="34"/>
    <w:pPr>
      <w:ind w:firstLine="420" w:firstLineChars="200"/>
    </w:pPr>
  </w:style>
  <w:style w:type="paragraph" w:styleId="14">
    <w:name w:val="No Spacing"/>
    <w:link w:val="15"/>
    <w:qFormat/>
    <w:uiPriority w:val="1"/>
    <w:rPr>
      <w:rFonts w:ascii="等线" w:hAnsi="等线" w:eastAsia="等线" w:cs="Times New Roman"/>
      <w:sz w:val="22"/>
      <w:szCs w:val="22"/>
      <w:lang w:val="en-US" w:eastAsia="zh-CN" w:bidi="ar-SA"/>
    </w:rPr>
  </w:style>
  <w:style w:type="character" w:customStyle="1" w:styleId="15">
    <w:name w:val="无间隔 字符"/>
    <w:link w:val="14"/>
    <w:qFormat/>
    <w:uiPriority w:val="1"/>
    <w:rPr>
      <w:rFonts w:ascii="等线" w:hAnsi="等线" w:eastAsia="等线" w:cs="Times New Roman"/>
      <w:kern w:val="0"/>
      <w:sz w:val="22"/>
    </w:rPr>
  </w:style>
  <w:style w:type="character" w:customStyle="1" w:styleId="16">
    <w:name w:val="日期 字符"/>
    <w:basedOn w:val="9"/>
    <w:link w:val="3"/>
    <w:semiHidden/>
    <w:qFormat/>
    <w:uiPriority w:val="99"/>
    <w:rPr>
      <w:rFonts w:ascii="Times New Roman" w:hAnsi="Times New Roman" w:eastAsia="宋体" w:cs="Times New Roman"/>
      <w:szCs w:val="24"/>
    </w:rPr>
  </w:style>
  <w:style w:type="character" w:customStyle="1" w:styleId="17">
    <w:name w:val="批注文字 字符"/>
    <w:basedOn w:val="9"/>
    <w:link w:val="2"/>
    <w:semiHidden/>
    <w:qFormat/>
    <w:uiPriority w:val="99"/>
    <w:rPr>
      <w:rFonts w:ascii="Times New Roman" w:hAnsi="Times New Roman" w:eastAsia="宋体" w:cs="Times New Roman"/>
      <w:szCs w:val="24"/>
    </w:rPr>
  </w:style>
  <w:style w:type="character" w:customStyle="1" w:styleId="18">
    <w:name w:val="批注主题 字符"/>
    <w:basedOn w:val="17"/>
    <w:link w:val="7"/>
    <w:semiHidden/>
    <w:qFormat/>
    <w:uiPriority w:val="99"/>
    <w:rPr>
      <w:rFonts w:ascii="Times New Roman" w:hAnsi="Times New Roman" w:eastAsia="宋体" w:cs="Times New Roman"/>
      <w:b/>
      <w:bCs/>
      <w:szCs w:val="24"/>
    </w:rPr>
  </w:style>
  <w:style w:type="paragraph" w:customStyle="1" w:styleId="19">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0">
    <w:name w:val="批注框文本 字符"/>
    <w:basedOn w:val="9"/>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714</Words>
  <Characters>764</Characters>
  <Lines>6</Lines>
  <Paragraphs>1</Paragraphs>
  <TotalTime>3</TotalTime>
  <ScaleCrop>false</ScaleCrop>
  <LinksUpToDate>false</LinksUpToDate>
  <CharactersWithSpaces>765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2017-04-26T00:59:00Z</dcterms:created>
  <dc:creator>杨浩</dc:creator>
  <cp:lastModifiedBy>jsyj-ysc2</cp:lastModifiedBy>
  <dcterms:modified xsi:type="dcterms:W3CDTF">2023-09-05T02:04:05Z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59532EEDB45E412C934F065FB01F5FE7_12</vt:lpwstr>
  </property>
</Properties>
</file>